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6"/>
          <w:szCs w:val="26"/>
        </w:rPr>
      </w:pPr>
      <w:r>
        <w:rPr>
          <w:b/>
          <w:sz w:val="22"/>
          <w:szCs w:val="22"/>
        </w:rPr>
        <w:t>Обоснование начальной (максимальной) цены закупочной сессии</w:t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  <w:shd w:fill="FFFFFF" w:val="clear"/>
        </w:rPr>
        <w:t xml:space="preserve">оказание услуг по проведению предрейсовых медицинских осмотров водителей транспортных </w:t>
      </w:r>
      <w:r>
        <w:rPr>
          <w:b/>
          <w:sz w:val="22"/>
          <w:szCs w:val="22"/>
          <w:highlight w:val="white"/>
        </w:rPr>
        <w:t xml:space="preserve">средств в </w:t>
      </w:r>
      <w:r>
        <w:rPr>
          <w:b/>
          <w:sz w:val="22"/>
          <w:szCs w:val="22"/>
          <w:highlight w:val="white"/>
          <w:lang w:val="ru-RU"/>
        </w:rPr>
        <w:t xml:space="preserve">2026 </w:t>
      </w:r>
      <w:r>
        <w:rPr>
          <w:b/>
          <w:sz w:val="22"/>
          <w:szCs w:val="22"/>
          <w:highlight w:val="white"/>
        </w:rPr>
        <w:t>г.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widowControl w:val="false"/>
        <w:ind w:firstLine="567"/>
        <w:jc w:val="both"/>
        <w:rPr/>
      </w:pPr>
      <w:r>
        <w:rPr>
          <w:sz w:val="22"/>
          <w:szCs w:val="22"/>
          <w:highlight w:val="white"/>
        </w:rPr>
        <w:t xml:space="preserve">Предметом государственного контракта является </w:t>
      </w:r>
      <w:r>
        <w:rPr>
          <w:sz w:val="22"/>
          <w:szCs w:val="22"/>
          <w:shd w:fill="FFFFFF" w:val="clear"/>
        </w:rPr>
        <w:t xml:space="preserve">оказание услуг </w:t>
      </w:r>
      <w:bookmarkStart w:id="0" w:name="__DdeLink__293_265773378"/>
      <w:r>
        <w:rPr>
          <w:sz w:val="22"/>
          <w:szCs w:val="22"/>
          <w:shd w:fill="FFFFFF" w:val="clear"/>
        </w:rPr>
        <w:t xml:space="preserve">по проведению предрейсовых медицинских осмотров водителей транспортных средств </w:t>
      </w:r>
      <w:bookmarkEnd w:id="0"/>
      <w:r>
        <w:rPr>
          <w:b w:val="false"/>
          <w:bCs w:val="false"/>
          <w:sz w:val="22"/>
          <w:szCs w:val="22"/>
          <w:highlight w:val="white"/>
        </w:rPr>
        <w:t>в 2026 г.</w:t>
      </w:r>
    </w:p>
    <w:p>
      <w:pPr>
        <w:pStyle w:val="Normal"/>
        <w:widowControl w:val="false"/>
        <w:ind w:firstLine="567"/>
        <w:jc w:val="both"/>
        <w:rPr/>
      </w:pPr>
      <w:r>
        <w:rPr>
          <w:sz w:val="22"/>
          <w:szCs w:val="22"/>
          <w:highlight w:val="white"/>
        </w:rPr>
        <w:t xml:space="preserve">Место оказания услуги: по месту нахождения Исполнителя в пределах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г. Ужур</w:t>
      </w:r>
      <w:r>
        <w:rPr>
          <w:b/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>Красноярского края.</w:t>
      </w:r>
    </w:p>
    <w:p>
      <w:pPr>
        <w:pStyle w:val="ConsPlusNormal"/>
        <w:widowControl w:val="false"/>
        <w:ind w:firstLine="567" w:left="0" w:right="0"/>
        <w:jc w:val="both"/>
        <w:rPr/>
      </w:pPr>
      <w:bookmarkStart w:id="1" w:name="__DdeLink__13414_1169184575"/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>Для расчета обоснования стартовой цены закупочной сессии с учетом требований ст. 22 Федерального закона РФ от 05.04.2013 № 44-ФЗ, а также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посредством применения метода сопоставимых рыночных цен (анализа рынка), были использованы цены медицинских учреждений, оказывающих данную услугу</w:t>
      </w:r>
      <w:bookmarkEnd w:id="1"/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>, в размере наименьшей цены.</w:t>
      </w:r>
    </w:p>
    <w:p>
      <w:pPr>
        <w:pStyle w:val="ConsPlusNormal"/>
        <w:ind w:firstLine="567"/>
        <w:jc w:val="both"/>
        <w:rPr>
          <w:rFonts w:ascii="Times New Roman" w:hAnsi="Times New Roman" w:eastAsia="Arial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Arial" w:cs="Times New Roman" w:ascii="Times New Roman" w:hAnsi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ConsPlusNormal"/>
        <w:ind w:firstLine="567"/>
        <w:jc w:val="both"/>
        <w:rPr>
          <w:sz w:val="22"/>
          <w:szCs w:val="22"/>
          <w:highlight w:val="white"/>
        </w:rPr>
      </w:pPr>
      <w:r>
        <w:rPr>
          <w:rFonts w:eastAsia="Arial" w:cs="Times New Roman" w:ascii="Times New Roman" w:hAnsi="Times New Roman"/>
          <w:sz w:val="22"/>
          <w:szCs w:val="22"/>
          <w:shd w:fill="FFFFFF" w:val="clear"/>
        </w:rPr>
        <w:t>Расчет цен (руб.):</w:t>
      </w:r>
    </w:p>
    <w:tbl>
      <w:tblPr>
        <w:tblW w:w="10039" w:type="dxa"/>
        <w:jc w:val="left"/>
        <w:tblInd w:w="-37" w:type="dxa"/>
        <w:tblLayout w:type="fixed"/>
        <w:tblCellMar>
          <w:top w:w="55" w:type="dxa"/>
          <w:left w:w="9" w:type="dxa"/>
          <w:bottom w:w="55" w:type="dxa"/>
          <w:right w:w="55" w:type="dxa"/>
        </w:tblCellMar>
      </w:tblPr>
      <w:tblGrid>
        <w:gridCol w:w="1639"/>
        <w:gridCol w:w="964"/>
        <w:gridCol w:w="1306"/>
        <w:gridCol w:w="1193"/>
        <w:gridCol w:w="1160"/>
        <w:gridCol w:w="1296"/>
        <w:gridCol w:w="1311"/>
        <w:gridCol w:w="1168"/>
      </w:tblGrid>
      <w:tr>
        <w:trPr>
          <w:trHeight w:val="1080" w:hRule="atLeast"/>
        </w:trPr>
        <w:tc>
          <w:tcPr>
            <w:tcW w:w="163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Наименование услуги</w:t>
            </w:r>
          </w:p>
        </w:tc>
        <w:tc>
          <w:tcPr>
            <w:tcW w:w="96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Кол-во (усл.ед.)</w:t>
            </w:r>
          </w:p>
        </w:tc>
        <w:tc>
          <w:tcPr>
            <w:tcW w:w="24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>КГБУЗ «Ужурская районная больница», цена определена Приказом  Министерства здравоохранения Красноярского края от 15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.08.2025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 xml:space="preserve"> №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210</w:t>
            </w:r>
          </w:p>
        </w:tc>
        <w:tc>
          <w:tcPr>
            <w:tcW w:w="245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bookmarkStart w:id="2" w:name="__DdeLink__128_114383806"/>
            <w:r>
              <w:rPr>
                <w:rFonts w:eastAsia="Arial" w:cs="Arial"/>
                <w:b/>
                <w:bCs/>
                <w:sz w:val="22"/>
                <w:szCs w:val="22"/>
                <w:highlight w:val="white"/>
                <w:shd w:fill="FFFFFF" w:val="clear"/>
              </w:rPr>
              <w:t xml:space="preserve">КГБУЗ «Шарыповская  ЦРБ», цена определена Приказом 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auto" w:val="clear"/>
                <w:em w:val="none"/>
              </w:rPr>
              <w:t xml:space="preserve">Министерства здравоохранения Красноярского края от </w:t>
            </w:r>
            <w:bookmarkEnd w:id="2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auto" w:val="clear"/>
                <w:em w:val="none"/>
                <w:lang w:val="ru-RU" w:eastAsia="ru-RU" w:bidi="ar-SA"/>
              </w:rPr>
              <w:t>07.11.2025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auto" w:val="clear"/>
                <w:em w:val="none"/>
              </w:rPr>
              <w:t xml:space="preserve"> №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auto" w:val="clear"/>
                <w:em w:val="none"/>
                <w:lang w:val="ru-RU" w:eastAsia="ru-RU" w:bidi="ar-SA"/>
              </w:rPr>
              <w:t>334-пр</w:t>
            </w:r>
          </w:p>
        </w:tc>
        <w:tc>
          <w:tcPr>
            <w:tcW w:w="247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КГБУЗ «Ачинская межрайонная больница», цена определена Приказом Министерства здравоохранения Красноярского края от  17.12.2025 № 479-ахв</w:t>
            </w:r>
          </w:p>
        </w:tc>
      </w:tr>
      <w:tr>
        <w:trPr>
          <w:trHeight w:val="1080" w:hRule="atLeast"/>
        </w:trPr>
        <w:tc>
          <w:tcPr>
            <w:tcW w:w="163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r>
          </w:p>
        </w:tc>
        <w:tc>
          <w:tcPr>
            <w:tcW w:w="96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1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2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3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1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</w:tr>
      <w:tr>
        <w:trPr/>
        <w:tc>
          <w:tcPr>
            <w:tcW w:w="16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  <w:shd w:fill="FFFFFF" w:val="clear"/>
              </w:rPr>
              <w:t xml:space="preserve">Оказание услуг по проведению предрейсовых медицинских осмотров водителей транспортных средств </w:t>
            </w:r>
            <w:r>
              <w:rPr>
                <w:b w:val="false"/>
                <w:bCs w:val="false"/>
                <w:sz w:val="22"/>
                <w:szCs w:val="22"/>
                <w:highlight w:val="white"/>
              </w:rPr>
              <w:t xml:space="preserve">в </w:t>
            </w:r>
            <w:r>
              <w:rPr>
                <w:b w:val="false"/>
                <w:bCs w:val="false"/>
                <w:sz w:val="22"/>
                <w:szCs w:val="22"/>
                <w:highlight w:val="white"/>
                <w:lang w:val="ru-RU"/>
              </w:rPr>
              <w:t xml:space="preserve">2026 </w:t>
            </w:r>
            <w:r>
              <w:rPr>
                <w:b w:val="false"/>
                <w:bCs w:val="false"/>
                <w:sz w:val="22"/>
                <w:szCs w:val="22"/>
                <w:highlight w:val="white"/>
                <w:lang w:val="en-US"/>
              </w:rPr>
              <w:t>г</w:t>
            </w:r>
            <w:r>
              <w:rPr>
                <w:b w:val="false"/>
                <w:bCs w:val="false"/>
                <w:sz w:val="22"/>
                <w:szCs w:val="22"/>
                <w:highlight w:val="white"/>
              </w:rPr>
              <w:t>.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right="57"/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40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60</w:t>
            </w:r>
            <w:r>
              <w:rPr>
                <w:sz w:val="22"/>
                <w:szCs w:val="22"/>
                <w:highlight w:val="white"/>
              </w:rPr>
              <w:t>,00</w:t>
            </w:r>
          </w:p>
        </w:tc>
        <w:tc>
          <w:tcPr>
            <w:tcW w:w="11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2 400</w:t>
            </w:r>
            <w:r>
              <w:rPr>
                <w:b w:val="false"/>
                <w:bCs w:val="false"/>
                <w:sz w:val="22"/>
                <w:szCs w:val="22"/>
                <w:highlight w:val="white"/>
              </w:rPr>
              <w:t>,00</w:t>
            </w: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65</w:t>
            </w:r>
            <w:r>
              <w:rPr>
                <w:b w:val="false"/>
                <w:bCs w:val="false"/>
                <w:sz w:val="22"/>
                <w:szCs w:val="22"/>
                <w:highlight w:val="white"/>
              </w:rPr>
              <w:t>,00</w:t>
            </w:r>
          </w:p>
        </w:tc>
        <w:tc>
          <w:tcPr>
            <w:tcW w:w="12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2 600,00</w:t>
            </w:r>
          </w:p>
        </w:tc>
        <w:tc>
          <w:tcPr>
            <w:tcW w:w="13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70</w:t>
            </w:r>
            <w:r>
              <w:rPr>
                <w:b w:val="false"/>
                <w:bCs w:val="false"/>
                <w:sz w:val="22"/>
                <w:szCs w:val="22"/>
                <w:highlight w:val="white"/>
              </w:rPr>
              <w:t>,00</w:t>
            </w:r>
          </w:p>
        </w:tc>
        <w:tc>
          <w:tcPr>
            <w:tcW w:w="11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2 800,00</w:t>
            </w:r>
          </w:p>
        </w:tc>
      </w:tr>
    </w:tbl>
    <w:p>
      <w:pPr>
        <w:pStyle w:val="BodyText"/>
        <w:spacing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jc w:val="both"/>
        <w:rPr/>
      </w:pPr>
      <w:r>
        <w:rPr>
          <w:sz w:val="22"/>
          <w:szCs w:val="22"/>
          <w:highlight w:val="white"/>
        </w:rPr>
        <w:t>Средняя арифметическая величина цены услуги = 2 600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,00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jc w:val="both"/>
        <w:rPr/>
      </w:pP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Среднее </w:t>
      </w:r>
      <w:r>
        <w:rPr>
          <w:color w:val="000000"/>
          <w:sz w:val="22"/>
          <w:szCs w:val="22"/>
          <w:highlight w:val="white"/>
        </w:rPr>
        <w:t>квадратичное</w:t>
      </w:r>
      <w:r>
        <w:rPr>
          <w:sz w:val="22"/>
          <w:szCs w:val="22"/>
          <w:highlight w:val="white"/>
        </w:rPr>
        <w:t xml:space="preserve"> отклонение =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 5</w:t>
      </w:r>
    </w:p>
    <w:p>
      <w:pPr>
        <w:pStyle w:val="Normal"/>
        <w:tabs>
          <w:tab w:val="clear" w:pos="708"/>
          <w:tab w:val="left" w:pos="709" w:leader="none"/>
        </w:tabs>
        <w:ind w:hanging="0" w:left="567"/>
        <w:jc w:val="both"/>
        <w:rPr/>
      </w:pPr>
      <w:r>
        <w:rPr>
          <w:sz w:val="22"/>
          <w:szCs w:val="22"/>
          <w:highlight w:val="white"/>
        </w:rPr>
        <w:t xml:space="preserve">1.3. Коэффициент вариации (%) =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7,69</w:t>
      </w:r>
    </w:p>
    <w:p>
      <w:pPr>
        <w:pStyle w:val="Normal"/>
        <w:tabs>
          <w:tab w:val="clear" w:pos="708"/>
          <w:tab w:val="left" w:pos="709" w:leader="none"/>
        </w:tabs>
        <w:ind w:hanging="0" w:left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spacing w:lineRule="auto" w:line="240"/>
        <w:ind w:firstLine="567"/>
        <w:jc w:val="both"/>
        <w:rPr/>
      </w:pPr>
      <w:r>
        <w:rPr>
          <w:sz w:val="22"/>
          <w:szCs w:val="22"/>
          <w:highlight w:val="white"/>
        </w:rPr>
        <w:t>Таким образом, значение коэффициента вариации составляет 7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,69</w:t>
      </w:r>
      <w:r>
        <w:rPr>
          <w:sz w:val="22"/>
          <w:szCs w:val="22"/>
          <w:highlight w:val="white"/>
        </w:rPr>
        <w:t>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spacing w:lineRule="auto" w:line="240" w:before="0" w:after="0"/>
        <w:ind w:firstLine="567"/>
        <w:jc w:val="both"/>
        <w:rPr/>
      </w:pPr>
      <w:r>
        <w:rPr>
          <w:rFonts w:eastAsia="Times New Roman" w:cs="Times New Roman"/>
          <w:bCs/>
          <w:color w:val="00000A"/>
          <w:sz w:val="22"/>
          <w:szCs w:val="22"/>
          <w:highlight w:val="white"/>
          <w:lang w:val="ru-RU" w:eastAsia="ru-RU" w:bidi="ar-SA"/>
        </w:rPr>
        <w:t xml:space="preserve">Начальная цена закупочной сессии на право заключения государственного контракта на </w:t>
      </w:r>
      <w:bookmarkStart w:id="3" w:name="__DdeLink__123_12607541051111"/>
      <w:r>
        <w:rPr>
          <w:rFonts w:eastAsia="Times New Roman" w:cs="Times New Roman"/>
          <w:bCs/>
          <w:color w:val="00000A"/>
          <w:sz w:val="22"/>
          <w:szCs w:val="22"/>
          <w:highlight w:val="white"/>
          <w:lang w:val="ru-RU" w:eastAsia="ru-RU" w:bidi="ar-SA"/>
        </w:rPr>
        <w:t xml:space="preserve">оказание услуг </w:t>
      </w:r>
      <w:bookmarkEnd w:id="3"/>
      <w:r>
        <w:rPr>
          <w:rFonts w:eastAsia="Times New Roman" w:cs="Times New Roman"/>
          <w:b w:val="false"/>
          <w:bCs w:val="false"/>
          <w:color w:val="00000A"/>
          <w:sz w:val="22"/>
          <w:szCs w:val="22"/>
          <w:shd w:fill="FFFFFF" w:val="clear"/>
          <w:lang w:val="ru-RU" w:eastAsia="ru-RU" w:bidi="ar-SA"/>
        </w:rPr>
        <w:t>по проведению предрейсовых медицинских осмотров водителей транспортных средств в 2026 г. годах</w:t>
      </w:r>
      <w:r>
        <w:rPr>
          <w:rFonts w:eastAsia="Times New Roman" w:cs="Times New Roman"/>
          <w:bCs/>
          <w:color w:val="00000A"/>
          <w:sz w:val="22"/>
          <w:szCs w:val="22"/>
          <w:highlight w:val="white"/>
          <w:lang w:val="ru-RU" w:eastAsia="ru-RU" w:bidi="ar-SA"/>
        </w:rPr>
        <w:t xml:space="preserve"> устанавливается в размере цены, по которой данный вид услуг может быть оказан </w:t>
      </w:r>
      <w:r>
        <w:rPr>
          <w:sz w:val="22"/>
          <w:szCs w:val="22"/>
          <w:highlight w:val="white"/>
        </w:rPr>
        <w:t xml:space="preserve">на территории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г. Ужур</w:t>
      </w:r>
      <w:r>
        <w:rPr>
          <w:sz w:val="22"/>
          <w:szCs w:val="22"/>
          <w:highlight w:val="white"/>
        </w:rPr>
        <w:t xml:space="preserve"> Красноярского края: 2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 400</w:t>
      </w:r>
      <w:r>
        <w:rPr>
          <w:sz w:val="22"/>
          <w:szCs w:val="22"/>
          <w:highlight w:val="white"/>
        </w:rPr>
        <w:t xml:space="preserve"> (две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 тысячи четыреста</w:t>
      </w:r>
      <w:r>
        <w:rPr>
          <w:sz w:val="22"/>
          <w:szCs w:val="22"/>
          <w:highlight w:val="white"/>
        </w:rPr>
        <w:t>) рублей 00 копеек.</w:t>
      </w:r>
    </w:p>
    <w:p>
      <w:pPr>
        <w:pStyle w:val="BodyText"/>
        <w:spacing w:lineRule="auto" w:line="240" w:before="0" w:after="0"/>
        <w:ind w:firstLine="567"/>
        <w:jc w:val="both"/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lineRule="auto" w:line="240" w:before="0" w:after="0"/>
        <w:ind w:hanging="0"/>
        <w:jc w:val="both"/>
        <w:rPr/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  <w:t>И.о. начальника отдела</w:t>
      </w:r>
    </w:p>
    <w:p>
      <w:pPr>
        <w:pStyle w:val="BodyText"/>
        <w:bidi w:val="0"/>
        <w:spacing w:lineRule="auto" w:line="240" w:before="0" w:after="0"/>
        <w:ind w:hanging="0"/>
        <w:jc w:val="both"/>
        <w:rPr/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  <w:t>материально-технического обеспечения                                                                                    Л.М. Юлдашева</w:t>
      </w:r>
    </w:p>
    <w:p>
      <w:pPr>
        <w:pStyle w:val="BodyText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1134" w:right="850" w:gutter="0" w:header="0" w:top="1134" w:footer="0" w:bottom="22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c799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5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11" w:customStyle="1">
    <w:name w:val="Заголовок 11"/>
    <w:basedOn w:val="Normal"/>
    <w:qFormat/>
    <w:rsid w:val="000c799a"/>
    <w:pPr>
      <w:keepNext w:val="true"/>
      <w:jc w:val="center"/>
      <w:outlineLvl w:val="0"/>
    </w:pPr>
    <w:rPr>
      <w:b/>
    </w:rPr>
  </w:style>
  <w:style w:type="paragraph" w:styleId="1" w:customStyle="1">
    <w:name w:val="Заголовок1"/>
    <w:basedOn w:val="Normal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 w:customStyle="1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/>
      <w:jc w:val="both"/>
    </w:pPr>
    <w:rPr>
      <w:sz w:val="28"/>
      <w:szCs w:val="20"/>
    </w:rPr>
  </w:style>
  <w:style w:type="paragraph" w:styleId="Style18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9" w:customStyle="1">
    <w:name w:val="Заголовок таблицы"/>
    <w:basedOn w:val="Style18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Application>LibreOffice/7.6.7.2$Linux_X86_64 LibreOffice_project/60$Build-2</Application>
  <AppVersion>15.0000</AppVersion>
  <Pages>1</Pages>
  <Words>316</Words>
  <Characters>2176</Characters>
  <CharactersWithSpaces>2546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2024-06-27T15:41:12Z</cp:lastPrinted>
  <dcterms:modified xsi:type="dcterms:W3CDTF">2026-08-24T13:22:00Z</dcterms:modified>
  <cp:revision>679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